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267A" w14:textId="2CCB53E5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273E0E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0A87E0F3" w:rsidR="00DB29F4" w:rsidRPr="00340A32" w:rsidRDefault="00DB29F4" w:rsidP="00DB29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 w:rsidR="0047417F" w:rsidRPr="0047417F">
        <w:rPr>
          <w:rFonts w:ascii="Arial" w:hAnsi="Arial" w:cs="Arial"/>
        </w:rPr>
        <w:t xml:space="preserve"> </w:t>
      </w:r>
      <w:r w:rsidR="00273E0E" w:rsidRPr="00273E0E">
        <w:rPr>
          <w:rFonts w:ascii="Arial" w:hAnsi="Arial" w:cs="Arial"/>
          <w:b/>
        </w:rPr>
        <w:t>dostawę aparatury służącej do monitorowania skażeń izotopami alfapromieniotwórczymi wraz z</w:t>
      </w:r>
      <w:r w:rsidR="00273E0E">
        <w:rPr>
          <w:rFonts w:ascii="Arial" w:hAnsi="Arial" w:cs="Arial"/>
          <w:b/>
        </w:rPr>
        <w:t> </w:t>
      </w:r>
      <w:r w:rsidR="00273E0E" w:rsidRPr="00273E0E">
        <w:rPr>
          <w:rFonts w:ascii="Arial" w:hAnsi="Arial" w:cs="Arial"/>
          <w:b/>
        </w:rPr>
        <w:t>wyposażeniem oraz ich instalację w siedzibie Zamawiającego”, nr sprawy: ZP001/2020/CLOR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73E0E"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>ustawy Pzp winno być sporządzone zgodnie z zasadami reprezentacji podmiotu, który takie zobowiązanie podejmuje.</w:t>
      </w:r>
    </w:p>
    <w:p w14:paraId="7AA82D99" w14:textId="77777777" w:rsidR="006B60FC" w:rsidRDefault="00273E0E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273E0E"/>
    <w:rsid w:val="00340A32"/>
    <w:rsid w:val="0042124A"/>
    <w:rsid w:val="0047417F"/>
    <w:rsid w:val="004D7D9D"/>
    <w:rsid w:val="00506B85"/>
    <w:rsid w:val="00565EFA"/>
    <w:rsid w:val="006176DC"/>
    <w:rsid w:val="006B4EF0"/>
    <w:rsid w:val="00B141B4"/>
    <w:rsid w:val="00B32141"/>
    <w:rsid w:val="00BA0091"/>
    <w:rsid w:val="00CD248F"/>
    <w:rsid w:val="00D107E9"/>
    <w:rsid w:val="00DB29F4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3</cp:revision>
  <dcterms:created xsi:type="dcterms:W3CDTF">2021-08-18T11:23:00Z</dcterms:created>
  <dcterms:modified xsi:type="dcterms:W3CDTF">2021-08-18T11:24:00Z</dcterms:modified>
</cp:coreProperties>
</file>